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72" w:rsidRDefault="006F6C72" w:rsidP="006A2BF9">
      <w:pPr>
        <w:rPr>
          <w:rFonts w:ascii="Arial" w:hAnsi="Arial" w:cs="Arial"/>
          <w:b/>
          <w:sz w:val="32"/>
          <w:szCs w:val="32"/>
        </w:rPr>
      </w:pPr>
    </w:p>
    <w:p w:rsidR="00664F14" w:rsidRPr="00664F14" w:rsidRDefault="00664F14" w:rsidP="00664F14">
      <w:pPr>
        <w:rPr>
          <w:rFonts w:ascii="Arial" w:hAnsi="Arial" w:cs="Arial"/>
          <w:b/>
          <w:sz w:val="16"/>
          <w:szCs w:val="16"/>
        </w:rPr>
      </w:pPr>
    </w:p>
    <w:p w:rsidR="00664F14" w:rsidRPr="00C1136D" w:rsidRDefault="00664F14" w:rsidP="00664F14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32"/>
              <w:szCs w:val="32"/>
            </w:rPr>
            <w:t>Hamilton</w:t>
          </w:r>
        </w:smartTag>
        <w:r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32"/>
              <w:szCs w:val="32"/>
            </w:rPr>
            <w:t>General</w:t>
          </w:r>
        </w:smartTag>
        <w:r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C1136D">
            <w:rPr>
              <w:rFonts w:ascii="Arial" w:hAnsi="Arial" w:cs="Arial"/>
              <w:b/>
              <w:sz w:val="32"/>
              <w:szCs w:val="32"/>
            </w:rPr>
            <w:t>Hospital</w:t>
          </w:r>
        </w:smartTag>
      </w:smartTag>
      <w:r w:rsidRPr="00C1136D">
        <w:rPr>
          <w:rFonts w:ascii="Arial" w:hAnsi="Arial" w:cs="Arial"/>
          <w:b/>
          <w:sz w:val="32"/>
          <w:szCs w:val="32"/>
        </w:rPr>
        <w:t xml:space="preserve"> – Asbestos Containing Material Inventory</w:t>
      </w:r>
    </w:p>
    <w:p w:rsidR="00664F14" w:rsidRDefault="00664F14" w:rsidP="00664F14">
      <w:pPr>
        <w:jc w:val="center"/>
        <w:rPr>
          <w:rFonts w:ascii="Arial" w:hAnsi="Arial" w:cs="Arial"/>
          <w:b/>
          <w:sz w:val="16"/>
          <w:szCs w:val="16"/>
        </w:rPr>
      </w:pPr>
    </w:p>
    <w:p w:rsidR="006E5F2A" w:rsidRDefault="00575BA2" w:rsidP="00664F14">
      <w:pPr>
        <w:jc w:val="center"/>
        <w:rPr>
          <w:rFonts w:ascii="Arial" w:hAnsi="Arial" w:cs="Arial"/>
          <w:b/>
          <w:sz w:val="28"/>
          <w:szCs w:val="28"/>
        </w:rPr>
      </w:pPr>
      <w:r w:rsidRPr="00575BA2">
        <w:rPr>
          <w:rFonts w:ascii="Arial" w:hAnsi="Arial" w:cs="Arial"/>
          <w:b/>
          <w:sz w:val="28"/>
          <w:szCs w:val="28"/>
        </w:rPr>
        <w:t xml:space="preserve">For Full Asbestos Management Program see </w:t>
      </w:r>
    </w:p>
    <w:p w:rsidR="00575BA2" w:rsidRDefault="006E5F2A" w:rsidP="00664F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Engineering Supervisor or </w:t>
      </w:r>
      <w:r w:rsidR="00575BA2" w:rsidRPr="00575BA2">
        <w:rPr>
          <w:rFonts w:ascii="Arial" w:hAnsi="Arial" w:cs="Arial"/>
          <w:b/>
          <w:sz w:val="28"/>
          <w:szCs w:val="28"/>
        </w:rPr>
        <w:t>Project Manager</w:t>
      </w:r>
    </w:p>
    <w:p w:rsidR="00575BA2" w:rsidRDefault="00575BA2" w:rsidP="00664F14">
      <w:pPr>
        <w:jc w:val="center"/>
        <w:rPr>
          <w:rFonts w:ascii="Arial" w:hAnsi="Arial" w:cs="Arial"/>
          <w:b/>
          <w:sz w:val="28"/>
          <w:szCs w:val="28"/>
        </w:rPr>
      </w:pPr>
    </w:p>
    <w:p w:rsidR="00664F14" w:rsidRDefault="00D16F56" w:rsidP="00116948">
      <w:pPr>
        <w:jc w:val="center"/>
        <w:rPr>
          <w:rFonts w:ascii="Arial" w:hAnsi="Arial" w:cs="Arial"/>
          <w:b/>
          <w:sz w:val="28"/>
          <w:szCs w:val="28"/>
        </w:rPr>
      </w:pPr>
      <w:r w:rsidRPr="000B5805">
        <w:rPr>
          <w:rFonts w:ascii="Arial" w:hAnsi="Arial" w:cs="Arial"/>
          <w:b/>
          <w:sz w:val="28"/>
          <w:szCs w:val="28"/>
          <w:highlight w:val="yellow"/>
        </w:rPr>
        <w:t>Last revised</w:t>
      </w:r>
      <w:r w:rsidRPr="008E2E4E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6C1664">
        <w:rPr>
          <w:rFonts w:ascii="Arial" w:hAnsi="Arial" w:cs="Arial"/>
          <w:b/>
          <w:sz w:val="28"/>
          <w:szCs w:val="28"/>
          <w:highlight w:val="yellow"/>
        </w:rPr>
        <w:t>Feb 2020</w:t>
      </w:r>
      <w:r w:rsidR="006C1664">
        <w:rPr>
          <w:rFonts w:ascii="Arial" w:hAnsi="Arial" w:cs="Arial"/>
          <w:b/>
          <w:sz w:val="28"/>
          <w:szCs w:val="28"/>
        </w:rPr>
        <w:t xml:space="preserve"> – Asbestos </w:t>
      </w:r>
      <w:r w:rsidR="00DA2617">
        <w:rPr>
          <w:rFonts w:ascii="Arial" w:hAnsi="Arial" w:cs="Arial"/>
          <w:b/>
          <w:sz w:val="28"/>
          <w:szCs w:val="28"/>
        </w:rPr>
        <w:t>Sprayed Fireproofing (East Wing)</w:t>
      </w:r>
      <w:bookmarkStart w:id="0" w:name="_GoBack"/>
      <w:bookmarkEnd w:id="0"/>
    </w:p>
    <w:p w:rsidR="000B5805" w:rsidRPr="006A2BF9" w:rsidRDefault="000B5805" w:rsidP="00116948">
      <w:pPr>
        <w:jc w:val="center"/>
        <w:rPr>
          <w:rFonts w:ascii="Arial" w:hAnsi="Arial" w:cs="Arial"/>
          <w:sz w:val="16"/>
          <w:szCs w:val="16"/>
        </w:rPr>
      </w:pPr>
    </w:p>
    <w:p w:rsidR="00664F14" w:rsidRPr="003D6B34" w:rsidRDefault="00664F14" w:rsidP="00664F14">
      <w:pPr>
        <w:rPr>
          <w:rFonts w:ascii="Arial" w:hAnsi="Arial" w:cs="Arial"/>
          <w:sz w:val="22"/>
          <w:szCs w:val="22"/>
        </w:rPr>
      </w:pPr>
      <w:r w:rsidRPr="003D6B34">
        <w:rPr>
          <w:rFonts w:ascii="Arial" w:hAnsi="Arial" w:cs="Arial"/>
          <w:sz w:val="22"/>
          <w:szCs w:val="22"/>
        </w:rPr>
        <w:t>ALL Asbestos practices and procedures need to be followed when performing construction, maintenance or demoliti</w:t>
      </w:r>
      <w:r>
        <w:rPr>
          <w:rFonts w:ascii="Arial" w:hAnsi="Arial" w:cs="Arial"/>
          <w:sz w:val="22"/>
          <w:szCs w:val="22"/>
        </w:rPr>
        <w:t xml:space="preserve">on activities at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Hamilton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General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3D6B34"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 w:rsidRPr="003D6B34">
        <w:rPr>
          <w:rFonts w:ascii="Arial" w:hAnsi="Arial" w:cs="Arial"/>
          <w:sz w:val="22"/>
          <w:szCs w:val="22"/>
        </w:rPr>
        <w:t xml:space="preserve"> as outlined in the AMP or project specific work procedures.</w:t>
      </w:r>
    </w:p>
    <w:p w:rsidR="00664F14" w:rsidRPr="006A2BF9" w:rsidRDefault="00664F14" w:rsidP="00664F14">
      <w:pPr>
        <w:rPr>
          <w:rFonts w:ascii="Arial" w:hAnsi="Arial" w:cs="Arial"/>
          <w:sz w:val="16"/>
          <w:szCs w:val="16"/>
        </w:rPr>
      </w:pPr>
    </w:p>
    <w:p w:rsidR="00664F14" w:rsidRDefault="00664F14" w:rsidP="00664F14">
      <w:pPr>
        <w:rPr>
          <w:rFonts w:ascii="Arial" w:hAnsi="Arial" w:cs="Arial"/>
          <w:sz w:val="22"/>
          <w:szCs w:val="22"/>
        </w:rPr>
      </w:pPr>
      <w:r w:rsidRPr="003D6B34">
        <w:rPr>
          <w:rFonts w:ascii="Arial" w:hAnsi="Arial" w:cs="Arial"/>
          <w:sz w:val="22"/>
          <w:szCs w:val="22"/>
        </w:rPr>
        <w:t>IF AREA OR MATERIALS ARE NOT IN THIS INVENTORY WE ASSUME IT HAS ASBESTOS MATERIAL UNLESS TESTING PROVES OTHERWISE</w:t>
      </w:r>
    </w:p>
    <w:p w:rsidR="00AF01B3" w:rsidRDefault="00AF01B3" w:rsidP="00664F14">
      <w:pPr>
        <w:rPr>
          <w:rFonts w:ascii="Arial" w:hAnsi="Arial" w:cs="Arial"/>
          <w:sz w:val="22"/>
          <w:szCs w:val="22"/>
        </w:rPr>
      </w:pPr>
    </w:p>
    <w:p w:rsidR="00AF01B3" w:rsidRPr="003D6B34" w:rsidRDefault="00AF01B3" w:rsidP="00664F14">
      <w:pPr>
        <w:rPr>
          <w:rFonts w:ascii="Arial" w:hAnsi="Arial" w:cs="Arial"/>
          <w:sz w:val="22"/>
          <w:szCs w:val="22"/>
        </w:rPr>
      </w:pPr>
      <w:r>
        <w:rPr>
          <w:i/>
          <w:szCs w:val="22"/>
        </w:rPr>
        <w:t>(</w:t>
      </w:r>
      <w:r w:rsidRPr="002A7510">
        <w:rPr>
          <w:i/>
          <w:szCs w:val="22"/>
        </w:rPr>
        <w:t>Asbestos Abatement/</w:t>
      </w:r>
      <w:r>
        <w:rPr>
          <w:i/>
          <w:szCs w:val="22"/>
        </w:rPr>
        <w:t xml:space="preserve">Material Replacement at HGH </w:t>
      </w:r>
      <w:r w:rsidRPr="002A7510">
        <w:rPr>
          <w:i/>
          <w:szCs w:val="22"/>
        </w:rPr>
        <w:t xml:space="preserve"> located </w:t>
      </w:r>
      <w:r>
        <w:rPr>
          <w:i/>
          <w:szCs w:val="22"/>
        </w:rPr>
        <w:t>on Appendix HGH</w:t>
      </w:r>
      <w:r w:rsidRPr="002A7510">
        <w:rPr>
          <w:i/>
          <w:szCs w:val="22"/>
        </w:rPr>
        <w:t>-AS-Sept201</w:t>
      </w:r>
      <w:r>
        <w:rPr>
          <w:i/>
          <w:szCs w:val="22"/>
        </w:rPr>
        <w:t>1)</w:t>
      </w:r>
    </w:p>
    <w:p w:rsidR="004A7160" w:rsidRPr="00E47368" w:rsidRDefault="004A7160">
      <w:pPr>
        <w:rPr>
          <w:sz w:val="8"/>
          <w:szCs w:val="8"/>
        </w:rPr>
      </w:pPr>
    </w:p>
    <w:p w:rsidR="00664F14" w:rsidRPr="00664F14" w:rsidRDefault="00664F14" w:rsidP="00664F14">
      <w:pPr>
        <w:pStyle w:val="BodyText"/>
        <w:rPr>
          <w:rFonts w:ascii="Arial" w:hAnsi="Arial" w:cs="Arial"/>
          <w:sz w:val="22"/>
          <w:szCs w:val="22"/>
        </w:rPr>
      </w:pPr>
      <w:r w:rsidRPr="00664F14">
        <w:rPr>
          <w:rFonts w:ascii="Arial" w:hAnsi="Arial" w:cs="Arial"/>
          <w:sz w:val="22"/>
          <w:szCs w:val="22"/>
        </w:rPr>
        <w:t>The following is a list of the known AC materials present in this facility:</w:t>
      </w:r>
    </w:p>
    <w:p w:rsidR="00664F14" w:rsidRPr="00664F14" w:rsidRDefault="00664F14" w:rsidP="00E6362A">
      <w:pPr>
        <w:pStyle w:val="par2"/>
        <w:numPr>
          <w:ilvl w:val="0"/>
          <w:numId w:val="4"/>
        </w:numPr>
        <w:spacing w:before="120"/>
        <w:rPr>
          <w:rFonts w:ascii="Arial" w:hAnsi="Arial" w:cs="Arial"/>
          <w:szCs w:val="22"/>
        </w:rPr>
      </w:pPr>
      <w:r w:rsidRPr="00664F14">
        <w:rPr>
          <w:rFonts w:ascii="Arial" w:hAnsi="Arial" w:cs="Arial"/>
          <w:szCs w:val="22"/>
        </w:rPr>
        <w:t>East Wing</w:t>
      </w:r>
    </w:p>
    <w:p w:rsidR="00664F14" w:rsidRPr="00664F14" w:rsidRDefault="00664F14" w:rsidP="00664F14">
      <w:pPr>
        <w:pStyle w:val="par2"/>
        <w:numPr>
          <w:ilvl w:val="1"/>
          <w:numId w:val="2"/>
        </w:numPr>
        <w:spacing w:before="0" w:after="0" w:line="240" w:lineRule="auto"/>
        <w:rPr>
          <w:rFonts w:ascii="Arial" w:hAnsi="Arial" w:cs="Arial"/>
          <w:szCs w:val="22"/>
        </w:rPr>
      </w:pPr>
      <w:proofErr w:type="spellStart"/>
      <w:r w:rsidRPr="00664F14">
        <w:rPr>
          <w:rFonts w:ascii="Arial" w:hAnsi="Arial" w:cs="Arial"/>
          <w:szCs w:val="22"/>
        </w:rPr>
        <w:t>Aircell</w:t>
      </w:r>
      <w:proofErr w:type="spellEnd"/>
      <w:r w:rsidRPr="00664F14">
        <w:rPr>
          <w:rFonts w:ascii="Arial" w:hAnsi="Arial" w:cs="Arial"/>
          <w:szCs w:val="22"/>
        </w:rPr>
        <w:t xml:space="preserve"> pipe insulation</w:t>
      </w:r>
    </w:p>
    <w:p w:rsidR="00664F14" w:rsidRPr="00664F14" w:rsidRDefault="00664F14" w:rsidP="00664F14">
      <w:pPr>
        <w:pStyle w:val="par2"/>
        <w:numPr>
          <w:ilvl w:val="1"/>
          <w:numId w:val="2"/>
        </w:numPr>
        <w:spacing w:before="0" w:after="0" w:line="240" w:lineRule="auto"/>
        <w:rPr>
          <w:rFonts w:ascii="Arial" w:hAnsi="Arial" w:cs="Arial"/>
          <w:szCs w:val="22"/>
        </w:rPr>
      </w:pPr>
      <w:r w:rsidRPr="00664F14">
        <w:rPr>
          <w:rFonts w:ascii="Arial" w:hAnsi="Arial" w:cs="Arial"/>
          <w:szCs w:val="22"/>
        </w:rPr>
        <w:t>Texture coat</w:t>
      </w:r>
    </w:p>
    <w:p w:rsidR="00664F14" w:rsidRDefault="00664F14" w:rsidP="00664F14">
      <w:pPr>
        <w:pStyle w:val="par2"/>
        <w:numPr>
          <w:ilvl w:val="1"/>
          <w:numId w:val="2"/>
        </w:numPr>
        <w:spacing w:before="0" w:after="0" w:line="240" w:lineRule="auto"/>
        <w:rPr>
          <w:rFonts w:ascii="Arial" w:hAnsi="Arial" w:cs="Arial"/>
          <w:szCs w:val="22"/>
        </w:rPr>
      </w:pPr>
      <w:r w:rsidRPr="00664F14">
        <w:rPr>
          <w:rFonts w:ascii="Arial" w:hAnsi="Arial" w:cs="Arial"/>
          <w:szCs w:val="22"/>
        </w:rPr>
        <w:t>Transite duct bank, buried outside north wall</w:t>
      </w:r>
      <w:r w:rsidR="00E47368">
        <w:rPr>
          <w:rFonts w:ascii="Arial" w:hAnsi="Arial" w:cs="Arial"/>
          <w:szCs w:val="22"/>
        </w:rPr>
        <w:t xml:space="preserve"> – Asbestos </w:t>
      </w:r>
      <w:r w:rsidR="00DB689D">
        <w:rPr>
          <w:rFonts w:ascii="Arial" w:hAnsi="Arial" w:cs="Arial"/>
          <w:szCs w:val="22"/>
        </w:rPr>
        <w:t>abated</w:t>
      </w:r>
      <w:r w:rsidR="00E47368">
        <w:rPr>
          <w:rFonts w:ascii="Arial" w:hAnsi="Arial" w:cs="Arial"/>
          <w:szCs w:val="22"/>
        </w:rPr>
        <w:t xml:space="preserve"> but residual </w:t>
      </w:r>
      <w:r w:rsidR="00DB689D">
        <w:rPr>
          <w:rFonts w:ascii="Arial" w:hAnsi="Arial" w:cs="Arial"/>
          <w:szCs w:val="22"/>
        </w:rPr>
        <w:t>pockets</w:t>
      </w:r>
      <w:r w:rsidR="00E47368">
        <w:rPr>
          <w:rFonts w:ascii="Arial" w:hAnsi="Arial" w:cs="Arial"/>
          <w:szCs w:val="22"/>
        </w:rPr>
        <w:t xml:space="preserve"> may remain – buried under Copland Ave.</w:t>
      </w:r>
    </w:p>
    <w:p w:rsidR="006C1664" w:rsidRDefault="006C1664" w:rsidP="00664F14">
      <w:pPr>
        <w:pStyle w:val="par2"/>
        <w:numPr>
          <w:ilvl w:val="1"/>
          <w:numId w:val="2"/>
        </w:numPr>
        <w:spacing w:before="0"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Asbestos Sprayed Fireproofing found in residual and original application throughout concealed </w:t>
      </w:r>
      <w:proofErr w:type="spellStart"/>
      <w:r>
        <w:rPr>
          <w:rFonts w:ascii="Arial" w:hAnsi="Arial" w:cs="Arial"/>
          <w:szCs w:val="22"/>
        </w:rPr>
        <w:t>locationg</w:t>
      </w:r>
      <w:proofErr w:type="spellEnd"/>
      <w:r>
        <w:rPr>
          <w:rFonts w:ascii="Arial" w:hAnsi="Arial" w:cs="Arial"/>
          <w:szCs w:val="22"/>
        </w:rPr>
        <w:t xml:space="preserve"> of the East Wing</w:t>
      </w:r>
    </w:p>
    <w:p w:rsidR="00AF01B3" w:rsidRDefault="00AF01B3" w:rsidP="00AF01B3">
      <w:pPr>
        <w:pStyle w:val="par2"/>
        <w:spacing w:before="0" w:after="0" w:line="240" w:lineRule="auto"/>
        <w:ind w:left="1800" w:firstLine="0"/>
        <w:rPr>
          <w:rFonts w:ascii="Arial" w:hAnsi="Arial" w:cs="Arial"/>
          <w:szCs w:val="22"/>
        </w:rPr>
      </w:pPr>
    </w:p>
    <w:p w:rsidR="00AF01B3" w:rsidRDefault="00AF01B3" w:rsidP="00AF01B3">
      <w:pPr>
        <w:pStyle w:val="par2"/>
        <w:spacing w:before="0" w:after="0" w:line="240" w:lineRule="auto"/>
        <w:ind w:left="1800" w:firstLine="0"/>
        <w:rPr>
          <w:szCs w:val="22"/>
        </w:rPr>
      </w:pPr>
      <w:r>
        <w:rPr>
          <w:rFonts w:ascii="Arial" w:hAnsi="Arial" w:cs="Arial"/>
          <w:szCs w:val="22"/>
        </w:rPr>
        <w:t xml:space="preserve">Note: </w:t>
      </w:r>
      <w:r w:rsidRPr="00664F14">
        <w:rPr>
          <w:rFonts w:ascii="Arial" w:hAnsi="Arial" w:cs="Arial"/>
          <w:szCs w:val="22"/>
        </w:rPr>
        <w:t>Fibrous spray fireproofing</w:t>
      </w:r>
      <w:r>
        <w:rPr>
          <w:rFonts w:ascii="Arial" w:hAnsi="Arial" w:cs="Arial"/>
          <w:szCs w:val="22"/>
        </w:rPr>
        <w:t xml:space="preserve"> retested 05 March 2011 – resul</w:t>
      </w:r>
      <w:r w:rsidR="00DB689D">
        <w:rPr>
          <w:rFonts w:ascii="Arial" w:hAnsi="Arial" w:cs="Arial"/>
          <w:szCs w:val="22"/>
        </w:rPr>
        <w:t xml:space="preserve">ts Non-detected for asbestos fibers </w:t>
      </w:r>
      <w:r w:rsidR="00DB689D" w:rsidRPr="00DB689D">
        <w:rPr>
          <w:rFonts w:ascii="Arial" w:hAnsi="Arial" w:cs="Arial"/>
          <w:szCs w:val="22"/>
        </w:rPr>
        <w:t>2</w:t>
      </w:r>
      <w:r w:rsidR="00DB689D" w:rsidRPr="00DB689D">
        <w:rPr>
          <w:rFonts w:ascii="Arial" w:hAnsi="Arial" w:cs="Arial"/>
          <w:sz w:val="14"/>
          <w:szCs w:val="14"/>
        </w:rPr>
        <w:t xml:space="preserve">nd </w:t>
      </w:r>
      <w:r w:rsidR="00DB689D" w:rsidRPr="00DB689D">
        <w:rPr>
          <w:rFonts w:ascii="Arial" w:hAnsi="Arial" w:cs="Arial"/>
          <w:szCs w:val="22"/>
        </w:rPr>
        <w:t>Floor East Wing</w:t>
      </w:r>
      <w:r w:rsidR="00DB689D">
        <w:rPr>
          <w:szCs w:val="22"/>
        </w:rPr>
        <w:t>.</w:t>
      </w:r>
    </w:p>
    <w:p w:rsidR="00A56BB2" w:rsidRPr="00664F14" w:rsidRDefault="00A56BB2" w:rsidP="00AF01B3">
      <w:pPr>
        <w:pStyle w:val="par2"/>
        <w:spacing w:before="0" w:after="0" w:line="240" w:lineRule="auto"/>
        <w:ind w:left="1800" w:firstLine="0"/>
        <w:rPr>
          <w:rFonts w:ascii="Arial" w:hAnsi="Arial" w:cs="Arial"/>
          <w:szCs w:val="22"/>
        </w:rPr>
      </w:pPr>
      <w:proofErr w:type="spellStart"/>
      <w:r>
        <w:rPr>
          <w:szCs w:val="22"/>
        </w:rPr>
        <w:t>Restested</w:t>
      </w:r>
      <w:proofErr w:type="spellEnd"/>
      <w:r>
        <w:rPr>
          <w:szCs w:val="22"/>
        </w:rPr>
        <w:t xml:space="preserve"> in January 2013 in 3</w:t>
      </w:r>
      <w:r w:rsidRPr="00A56BB2">
        <w:rPr>
          <w:szCs w:val="22"/>
          <w:vertAlign w:val="superscript"/>
        </w:rPr>
        <w:t>rd</w:t>
      </w:r>
      <w:r>
        <w:rPr>
          <w:szCs w:val="22"/>
        </w:rPr>
        <w:t xml:space="preserve"> and 4</w:t>
      </w:r>
      <w:r w:rsidRPr="00A56BB2">
        <w:rPr>
          <w:szCs w:val="22"/>
          <w:vertAlign w:val="superscript"/>
        </w:rPr>
        <w:t>th</w:t>
      </w:r>
      <w:r>
        <w:rPr>
          <w:szCs w:val="22"/>
        </w:rPr>
        <w:t xml:space="preserve"> floor – results non-detected for asbestos fibres</w:t>
      </w:r>
    </w:p>
    <w:p w:rsidR="00664F14" w:rsidRPr="00A56BB2" w:rsidRDefault="00664F14" w:rsidP="00A56BB2">
      <w:pPr>
        <w:pStyle w:val="par2"/>
        <w:numPr>
          <w:ilvl w:val="0"/>
          <w:numId w:val="6"/>
        </w:numPr>
        <w:spacing w:before="240"/>
        <w:rPr>
          <w:rFonts w:ascii="Arial" w:hAnsi="Arial" w:cs="Arial"/>
          <w:szCs w:val="22"/>
        </w:rPr>
      </w:pPr>
      <w:r w:rsidRPr="00664F14">
        <w:rPr>
          <w:rFonts w:ascii="Arial" w:hAnsi="Arial" w:cs="Arial"/>
          <w:szCs w:val="22"/>
        </w:rPr>
        <w:t>H.G.H. McMaster Clinics</w:t>
      </w:r>
    </w:p>
    <w:p w:rsidR="00664F14" w:rsidRPr="00A56BB2" w:rsidRDefault="00664F14" w:rsidP="00A56BB2">
      <w:pPr>
        <w:pStyle w:val="par2"/>
        <w:numPr>
          <w:ilvl w:val="1"/>
          <w:numId w:val="2"/>
        </w:numPr>
        <w:spacing w:before="0" w:after="0" w:line="240" w:lineRule="auto"/>
        <w:rPr>
          <w:rFonts w:ascii="Arial" w:hAnsi="Arial" w:cs="Arial"/>
          <w:szCs w:val="22"/>
        </w:rPr>
      </w:pPr>
      <w:r w:rsidRPr="00664F14">
        <w:rPr>
          <w:rFonts w:ascii="Arial" w:hAnsi="Arial" w:cs="Arial"/>
          <w:szCs w:val="22"/>
        </w:rPr>
        <w:t>12” beige with black line vinyl floor tile</w:t>
      </w:r>
    </w:p>
    <w:p w:rsidR="00664F14" w:rsidRPr="00664F14" w:rsidRDefault="00664F14" w:rsidP="00664F14">
      <w:pPr>
        <w:pStyle w:val="par2"/>
        <w:numPr>
          <w:ilvl w:val="1"/>
          <w:numId w:val="2"/>
        </w:numPr>
        <w:spacing w:before="0" w:after="0" w:line="240" w:lineRule="auto"/>
        <w:rPr>
          <w:rFonts w:ascii="Arial" w:hAnsi="Arial" w:cs="Arial"/>
          <w:szCs w:val="22"/>
        </w:rPr>
      </w:pPr>
      <w:r w:rsidRPr="00664F14">
        <w:rPr>
          <w:rFonts w:ascii="Arial" w:hAnsi="Arial" w:cs="Arial"/>
          <w:szCs w:val="22"/>
        </w:rPr>
        <w:t>Drywall</w:t>
      </w:r>
      <w:r w:rsidR="00A56BB2">
        <w:rPr>
          <w:rFonts w:ascii="Arial" w:hAnsi="Arial" w:cs="Arial"/>
          <w:szCs w:val="22"/>
        </w:rPr>
        <w:t xml:space="preserve"> Joint Compound 5</w:t>
      </w:r>
      <w:r w:rsidR="00A56BB2" w:rsidRPr="00A56BB2">
        <w:rPr>
          <w:rFonts w:ascii="Arial" w:hAnsi="Arial" w:cs="Arial"/>
          <w:szCs w:val="22"/>
          <w:vertAlign w:val="superscript"/>
        </w:rPr>
        <w:t>th</w:t>
      </w:r>
      <w:r w:rsidR="00A56BB2">
        <w:rPr>
          <w:rFonts w:ascii="Arial" w:hAnsi="Arial" w:cs="Arial"/>
          <w:szCs w:val="22"/>
        </w:rPr>
        <w:t>, 6</w:t>
      </w:r>
      <w:r w:rsidR="00A56BB2" w:rsidRPr="00A56BB2">
        <w:rPr>
          <w:rFonts w:ascii="Arial" w:hAnsi="Arial" w:cs="Arial"/>
          <w:szCs w:val="22"/>
          <w:vertAlign w:val="superscript"/>
        </w:rPr>
        <w:t>th</w:t>
      </w:r>
      <w:r w:rsidR="00A56BB2">
        <w:rPr>
          <w:rFonts w:ascii="Arial" w:hAnsi="Arial" w:cs="Arial"/>
          <w:szCs w:val="22"/>
        </w:rPr>
        <w:t>, 7</w:t>
      </w:r>
      <w:r w:rsidR="00A56BB2" w:rsidRPr="00A56BB2">
        <w:rPr>
          <w:rFonts w:ascii="Arial" w:hAnsi="Arial" w:cs="Arial"/>
          <w:szCs w:val="22"/>
          <w:vertAlign w:val="superscript"/>
        </w:rPr>
        <w:t>th</w:t>
      </w:r>
      <w:r w:rsidR="00A56BB2">
        <w:rPr>
          <w:rFonts w:ascii="Arial" w:hAnsi="Arial" w:cs="Arial"/>
          <w:szCs w:val="22"/>
        </w:rPr>
        <w:t xml:space="preserve"> floor and basement only</w:t>
      </w:r>
    </w:p>
    <w:p w:rsidR="00664F14" w:rsidRDefault="00EF44E8" w:rsidP="00664F14">
      <w:pPr>
        <w:pStyle w:val="par2"/>
        <w:numPr>
          <w:ilvl w:val="1"/>
          <w:numId w:val="2"/>
        </w:numPr>
        <w:spacing w:before="0"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1’x1’</w:t>
      </w:r>
      <w:r w:rsidR="00664F14" w:rsidRPr="00664F14">
        <w:rPr>
          <w:rFonts w:ascii="Arial" w:hAnsi="Arial" w:cs="Arial"/>
          <w:szCs w:val="22"/>
        </w:rPr>
        <w:t xml:space="preserve"> scattered dot and fissure ceiling tile</w:t>
      </w:r>
    </w:p>
    <w:p w:rsidR="00A56BB2" w:rsidRDefault="00A56BB2" w:rsidP="00A56BB2">
      <w:pPr>
        <w:pStyle w:val="par2"/>
        <w:spacing w:before="0" w:after="0" w:line="240" w:lineRule="auto"/>
        <w:rPr>
          <w:rFonts w:ascii="Arial" w:hAnsi="Arial" w:cs="Arial"/>
          <w:szCs w:val="22"/>
        </w:rPr>
      </w:pPr>
    </w:p>
    <w:p w:rsidR="00A56BB2" w:rsidRPr="00664F14" w:rsidRDefault="00A56BB2" w:rsidP="00A56BB2">
      <w:pPr>
        <w:pStyle w:val="par2"/>
        <w:spacing w:before="0" w:after="0" w:line="240" w:lineRule="auto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Note: Plaster and Drywall tested in February 2013 by ECOH </w:t>
      </w:r>
      <w:proofErr w:type="spellStart"/>
      <w:r>
        <w:rPr>
          <w:rFonts w:ascii="Arial" w:hAnsi="Arial" w:cs="Arial"/>
          <w:szCs w:val="22"/>
        </w:rPr>
        <w:t>Mangement</w:t>
      </w:r>
      <w:proofErr w:type="spellEnd"/>
      <w:r>
        <w:rPr>
          <w:rFonts w:ascii="Arial" w:hAnsi="Arial" w:cs="Arial"/>
          <w:szCs w:val="22"/>
        </w:rPr>
        <w:t>.  All 112 plaster samples from the walls and ceilings were non-detect.  24 samples of dust on top of ceiling tiles (from plaster damage) were non-detect.  Drywall Joint Compound contained chrysotile asbestos (1 – 2%) on the 5</w:t>
      </w:r>
      <w:r w:rsidRPr="00A56BB2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>, 6</w:t>
      </w:r>
      <w:r w:rsidRPr="00A56BB2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and 7</w:t>
      </w:r>
      <w:r w:rsidRPr="00A56BB2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floors as well as the basement.</w:t>
      </w:r>
      <w:r w:rsidR="00EF44E8">
        <w:rPr>
          <w:rFonts w:ascii="Arial" w:hAnsi="Arial" w:cs="Arial"/>
          <w:szCs w:val="22"/>
        </w:rPr>
        <w:t xml:space="preserve">  Additional sampling conducted in March 2013 by HHS.  Five drywall joint compound samples collected from the basement clinic office area.  All five samples were non-detect.</w:t>
      </w:r>
      <w:r>
        <w:rPr>
          <w:rFonts w:ascii="Arial" w:hAnsi="Arial" w:cs="Arial"/>
          <w:szCs w:val="22"/>
        </w:rPr>
        <w:t xml:space="preserve">  </w:t>
      </w:r>
    </w:p>
    <w:p w:rsidR="00664F14" w:rsidRPr="00664F14" w:rsidRDefault="00664F14" w:rsidP="00E6362A">
      <w:pPr>
        <w:pStyle w:val="par2"/>
        <w:numPr>
          <w:ilvl w:val="0"/>
          <w:numId w:val="8"/>
        </w:numPr>
        <w:spacing w:before="240"/>
        <w:rPr>
          <w:rFonts w:ascii="Arial" w:hAnsi="Arial" w:cs="Arial"/>
          <w:szCs w:val="22"/>
        </w:rPr>
      </w:pPr>
      <w:smartTag w:uri="urn:schemas-microsoft-com:office:smarttags" w:element="Street">
        <w:smartTag w:uri="urn:schemas-microsoft-com:office:smarttags" w:element="address">
          <w:r w:rsidRPr="00664F14">
            <w:rPr>
              <w:rFonts w:ascii="Arial" w:hAnsi="Arial" w:cs="Arial"/>
              <w:szCs w:val="22"/>
            </w:rPr>
            <w:t>Victoria Street</w:t>
          </w:r>
        </w:smartTag>
      </w:smartTag>
      <w:r w:rsidRPr="00664F14">
        <w:rPr>
          <w:rFonts w:ascii="Arial" w:hAnsi="Arial" w:cs="Arial"/>
          <w:szCs w:val="22"/>
        </w:rPr>
        <w:t xml:space="preserve"> Parking Garage</w:t>
      </w:r>
    </w:p>
    <w:p w:rsidR="00664F14" w:rsidRPr="00664F14" w:rsidRDefault="00664F14" w:rsidP="00664F14">
      <w:pPr>
        <w:pStyle w:val="par2"/>
        <w:numPr>
          <w:ilvl w:val="1"/>
          <w:numId w:val="2"/>
        </w:numPr>
        <w:spacing w:before="0" w:after="0" w:line="240" w:lineRule="auto"/>
        <w:rPr>
          <w:rFonts w:ascii="Arial" w:hAnsi="Arial" w:cs="Arial"/>
          <w:szCs w:val="22"/>
        </w:rPr>
      </w:pPr>
      <w:r w:rsidRPr="00664F14">
        <w:rPr>
          <w:rFonts w:ascii="Arial" w:hAnsi="Arial" w:cs="Arial"/>
          <w:szCs w:val="22"/>
        </w:rPr>
        <w:t>12” white with black line vinyl floor tiles</w:t>
      </w:r>
    </w:p>
    <w:p w:rsidR="00664F14" w:rsidRPr="00664F14" w:rsidRDefault="00664F14" w:rsidP="00664F14">
      <w:pPr>
        <w:pStyle w:val="par2"/>
        <w:numPr>
          <w:ilvl w:val="1"/>
          <w:numId w:val="2"/>
        </w:numPr>
        <w:spacing w:before="0" w:after="0" w:line="240" w:lineRule="auto"/>
        <w:rPr>
          <w:rFonts w:ascii="Arial" w:hAnsi="Arial" w:cs="Arial"/>
          <w:szCs w:val="22"/>
        </w:rPr>
      </w:pPr>
      <w:r w:rsidRPr="00664F14">
        <w:rPr>
          <w:rFonts w:ascii="Arial" w:hAnsi="Arial" w:cs="Arial"/>
          <w:szCs w:val="22"/>
        </w:rPr>
        <w:lastRenderedPageBreak/>
        <w:t>12” orange vinyl floor tiles</w:t>
      </w:r>
    </w:p>
    <w:p w:rsidR="00457293" w:rsidRPr="006A2BF9" w:rsidRDefault="00457293" w:rsidP="00457293">
      <w:pPr>
        <w:pStyle w:val="par2"/>
        <w:spacing w:before="0" w:after="0" w:line="240" w:lineRule="auto"/>
        <w:rPr>
          <w:rFonts w:ascii="Arial" w:hAnsi="Arial" w:cs="Arial"/>
          <w:sz w:val="16"/>
          <w:szCs w:val="16"/>
        </w:rPr>
      </w:pPr>
    </w:p>
    <w:p w:rsidR="00664F14" w:rsidRPr="006A2BF9" w:rsidRDefault="00664F14">
      <w:pPr>
        <w:rPr>
          <w:sz w:val="16"/>
          <w:szCs w:val="16"/>
        </w:rPr>
      </w:pPr>
    </w:p>
    <w:tbl>
      <w:tblPr>
        <w:tblW w:w="9940" w:type="dxa"/>
        <w:tblInd w:w="108" w:type="dxa"/>
        <w:tblLook w:val="0000" w:firstRow="0" w:lastRow="0" w:firstColumn="0" w:lastColumn="0" w:noHBand="0" w:noVBand="0"/>
      </w:tblPr>
      <w:tblGrid>
        <w:gridCol w:w="1807"/>
        <w:gridCol w:w="173"/>
        <w:gridCol w:w="95"/>
        <w:gridCol w:w="2005"/>
        <w:gridCol w:w="60"/>
        <w:gridCol w:w="1440"/>
        <w:gridCol w:w="26"/>
        <w:gridCol w:w="1594"/>
        <w:gridCol w:w="2430"/>
        <w:gridCol w:w="310"/>
      </w:tblGrid>
      <w:tr w:rsidR="00664F14" w:rsidRPr="00664F14">
        <w:trPr>
          <w:trHeight w:val="255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C72" w:rsidRDefault="006F6C72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:rsidR="006F6C72" w:rsidRDefault="006F6C72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:rsidR="006F6C72" w:rsidRDefault="006F6C72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East Wing</w:t>
            </w:r>
          </w:p>
        </w:tc>
      </w:tr>
      <w:tr w:rsidR="00664F14" w:rsidRPr="00664F14">
        <w:trPr>
          <w:trHeight w:val="2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sz w:val="20"/>
                <w:szCs w:val="20"/>
                <w:lang w:val="en-CA"/>
              </w:rPr>
            </w:pPr>
            <w:r w:rsidRPr="00664F14">
              <w:rPr>
                <w:b/>
                <w:sz w:val="20"/>
                <w:szCs w:val="20"/>
                <w:lang w:val="en-CA"/>
              </w:rPr>
              <w:t>Material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sz w:val="20"/>
                <w:szCs w:val="20"/>
                <w:lang w:val="en-CA"/>
              </w:rPr>
            </w:pPr>
            <w:r w:rsidRPr="00664F14">
              <w:rPr>
                <w:b/>
                <w:sz w:val="20"/>
                <w:szCs w:val="20"/>
                <w:lang w:val="en-CA"/>
              </w:rPr>
              <w:t>Locations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sz w:val="20"/>
                <w:szCs w:val="20"/>
                <w:lang w:val="en-CA"/>
              </w:rPr>
            </w:pPr>
            <w:r w:rsidRPr="00664F14">
              <w:rPr>
                <w:b/>
                <w:sz w:val="20"/>
                <w:szCs w:val="20"/>
                <w:lang w:val="en-CA"/>
              </w:rPr>
              <w:t>Approx. Quantity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Notes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sz w:val="20"/>
                <w:szCs w:val="20"/>
                <w:lang w:val="en-CA"/>
              </w:rPr>
            </w:pPr>
            <w:r w:rsidRPr="00664F14">
              <w:rPr>
                <w:b/>
                <w:sz w:val="20"/>
                <w:szCs w:val="20"/>
                <w:lang w:val="en-CA"/>
              </w:rPr>
              <w:t>Result (if ACM)</w:t>
            </w:r>
          </w:p>
        </w:tc>
      </w:tr>
      <w:tr w:rsidR="00664F14" w:rsidRPr="00664F14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Parging cement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Penthouse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 4 fittings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4736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Chrysotile</w:t>
            </w:r>
          </w:p>
        </w:tc>
      </w:tr>
      <w:tr w:rsidR="00664F14" w:rsidRPr="00664F14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Texture coat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Second floor men’s washroom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6362A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70 sf (assumed in </w:t>
            </w:r>
            <w:r w:rsidR="00664F14" w:rsidRPr="00664F14">
              <w:rPr>
                <w:sz w:val="20"/>
                <w:szCs w:val="20"/>
                <w:lang w:val="en-CA"/>
              </w:rPr>
              <w:t>other concealed areas)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4736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Chrysotile</w:t>
            </w:r>
          </w:p>
        </w:tc>
      </w:tr>
      <w:tr w:rsidR="006A2BF9" w:rsidRPr="00664F14">
        <w:trPr>
          <w:trHeight w:val="25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BF9" w:rsidRPr="00664F14" w:rsidRDefault="006A2BF9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proofErr w:type="spellStart"/>
            <w:r>
              <w:rPr>
                <w:sz w:val="20"/>
                <w:szCs w:val="20"/>
                <w:lang w:val="en-CA"/>
              </w:rPr>
              <w:t>Aircell</w:t>
            </w:r>
            <w:proofErr w:type="spellEnd"/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F9" w:rsidRPr="00664F14" w:rsidRDefault="006A2BF9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throughout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F9" w:rsidRDefault="00A56BB2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U</w:t>
            </w:r>
            <w:r w:rsidR="006A2BF9">
              <w:rPr>
                <w:sz w:val="20"/>
                <w:szCs w:val="20"/>
                <w:lang w:val="en-CA"/>
              </w:rPr>
              <w:t>nknown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F9" w:rsidRPr="00664F14" w:rsidRDefault="006A2BF9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Partial removal on 2</w:t>
            </w:r>
            <w:r w:rsidRPr="006A2BF9">
              <w:rPr>
                <w:sz w:val="20"/>
                <w:szCs w:val="20"/>
                <w:vertAlign w:val="superscript"/>
                <w:lang w:val="en-CA"/>
              </w:rPr>
              <w:t>nd</w:t>
            </w:r>
            <w:r>
              <w:rPr>
                <w:sz w:val="20"/>
                <w:szCs w:val="20"/>
                <w:lang w:val="en-CA"/>
              </w:rPr>
              <w:t xml:space="preserve"> floor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F9" w:rsidRPr="00664F14" w:rsidRDefault="006A2BF9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F14" w:rsidRPr="00664F14" w:rsidRDefault="00664F14" w:rsidP="00DB689D">
            <w:pPr>
              <w:spacing w:before="60" w:after="60"/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6A2BF9" w:rsidRPr="00664F14">
        <w:trPr>
          <w:gridAfter w:val="1"/>
          <w:wAfter w:w="310" w:type="dxa"/>
          <w:trHeight w:val="25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2BF9" w:rsidRPr="00664F14" w:rsidRDefault="006A2BF9" w:rsidP="00664F14">
            <w:pPr>
              <w:spacing w:before="60" w:after="60"/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H.G.H. McMaster Clinics</w:t>
            </w: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Material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Locations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Approx. Quantity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Notes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Result (if ACM)</w:t>
            </w: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12” beige with black line vinyl floor tile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Basement – B009</w:t>
            </w:r>
          </w:p>
          <w:p w:rsidR="00DB689D" w:rsidRDefault="00DB689D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  <w:p w:rsidR="00DB689D" w:rsidRDefault="00DB689D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  <w:p w:rsidR="00DB689D" w:rsidRDefault="00DB689D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Note: tile is present on all levels – corridors and office space.</w:t>
            </w:r>
          </w:p>
          <w:p w:rsidR="00DB689D" w:rsidRDefault="00DB689D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  <w:p w:rsidR="00DB689D" w:rsidRPr="00664F14" w:rsidRDefault="00DB689D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See Appendix </w:t>
            </w:r>
            <w:r w:rsidR="00DA755A">
              <w:rPr>
                <w:sz w:val="20"/>
                <w:szCs w:val="20"/>
                <w:lang w:val="en-CA"/>
              </w:rPr>
              <w:t xml:space="preserve">MCW </w:t>
            </w:r>
            <w:r>
              <w:rPr>
                <w:sz w:val="20"/>
                <w:szCs w:val="20"/>
                <w:lang w:val="en-CA"/>
              </w:rPr>
              <w:t>at end of document for amplifying information.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 900 sf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89D" w:rsidRDefault="00DB689D" w:rsidP="00DB689D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Tile has been cover</w:t>
            </w:r>
            <w:r w:rsidR="00EF44E8">
              <w:rPr>
                <w:sz w:val="20"/>
                <w:szCs w:val="20"/>
                <w:lang w:val="en-CA"/>
              </w:rPr>
              <w:t>ed</w:t>
            </w:r>
            <w:r>
              <w:rPr>
                <w:sz w:val="20"/>
                <w:szCs w:val="20"/>
                <w:lang w:val="en-CA"/>
              </w:rPr>
              <w:t xml:space="preserve"> with a leveling mortar compound and Vinyl sheet flooring. </w:t>
            </w:r>
          </w:p>
          <w:p w:rsidR="006472C5" w:rsidRDefault="006472C5" w:rsidP="00DB689D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  <w:p w:rsidR="00664F14" w:rsidRPr="00DA755A" w:rsidRDefault="00DB689D" w:rsidP="00DB689D">
            <w:pPr>
              <w:spacing w:before="60" w:after="60"/>
              <w:jc w:val="both"/>
              <w:rPr>
                <w:b/>
                <w:sz w:val="20"/>
                <w:szCs w:val="20"/>
                <w:lang w:val="en-CA"/>
              </w:rPr>
            </w:pPr>
            <w:r w:rsidRPr="00DA755A">
              <w:rPr>
                <w:b/>
                <w:sz w:val="20"/>
                <w:szCs w:val="20"/>
                <w:lang w:val="en-CA"/>
              </w:rPr>
              <w:t>Any work that involves breaching through these layers must be conducted under a Type 2 or 3 procedure.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4736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Chrysotile</w:t>
            </w:r>
          </w:p>
        </w:tc>
      </w:tr>
      <w:tr w:rsidR="00A56BB2" w:rsidRPr="00664F14">
        <w:trPr>
          <w:gridAfter w:val="1"/>
          <w:wAfter w:w="310" w:type="dxa"/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B2" w:rsidRPr="00664F14" w:rsidRDefault="00A56BB2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Drywall Joint Compound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BB2" w:rsidRPr="00664F14" w:rsidRDefault="00A56BB2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Basement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BB2" w:rsidRPr="00664F14" w:rsidRDefault="00A56BB2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All DW walls</w:t>
            </w:r>
            <w:r w:rsidR="00EF44E8">
              <w:rPr>
                <w:sz w:val="20"/>
                <w:szCs w:val="20"/>
                <w:lang w:val="en-CA"/>
              </w:rPr>
              <w:t xml:space="preserve"> (except the clinic office area)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BB2" w:rsidRPr="00664F14" w:rsidRDefault="00A56BB2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BB2" w:rsidRDefault="00A56BB2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Chrysotile</w:t>
            </w: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Drywall</w:t>
            </w:r>
            <w:r w:rsidR="00A56BB2">
              <w:rPr>
                <w:sz w:val="20"/>
                <w:szCs w:val="20"/>
                <w:lang w:val="en-CA"/>
              </w:rPr>
              <w:t xml:space="preserve"> Joint Compound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Fifth floor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 xml:space="preserve">All </w:t>
            </w:r>
            <w:r w:rsidR="00A56BB2">
              <w:rPr>
                <w:sz w:val="20"/>
                <w:szCs w:val="20"/>
                <w:lang w:val="en-CA"/>
              </w:rPr>
              <w:t xml:space="preserve">DW </w:t>
            </w:r>
            <w:r w:rsidRPr="00664F14">
              <w:rPr>
                <w:sz w:val="20"/>
                <w:szCs w:val="20"/>
                <w:lang w:val="en-CA"/>
              </w:rPr>
              <w:t>walls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4736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Chrysotile</w:t>
            </w: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Drywall</w:t>
            </w:r>
            <w:r w:rsidR="00A56BB2">
              <w:rPr>
                <w:sz w:val="20"/>
                <w:szCs w:val="20"/>
                <w:lang w:val="en-CA"/>
              </w:rPr>
              <w:t xml:space="preserve"> Joint Compound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Sixth floor</w:t>
            </w:r>
          </w:p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 xml:space="preserve">All </w:t>
            </w:r>
            <w:r w:rsidR="00A56BB2">
              <w:rPr>
                <w:sz w:val="20"/>
                <w:szCs w:val="20"/>
                <w:lang w:val="en-CA"/>
              </w:rPr>
              <w:t xml:space="preserve">DW </w:t>
            </w:r>
            <w:r w:rsidRPr="00664F14">
              <w:rPr>
                <w:sz w:val="20"/>
                <w:szCs w:val="20"/>
                <w:lang w:val="en-CA"/>
              </w:rPr>
              <w:t>walls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4736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Chrysotile</w:t>
            </w: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Drywall</w:t>
            </w:r>
            <w:r w:rsidR="00A56BB2">
              <w:rPr>
                <w:sz w:val="20"/>
                <w:szCs w:val="20"/>
                <w:lang w:val="en-CA"/>
              </w:rPr>
              <w:t xml:space="preserve"> Joint Compound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Seventh floor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 xml:space="preserve">All </w:t>
            </w:r>
            <w:r w:rsidR="00A56BB2">
              <w:rPr>
                <w:sz w:val="20"/>
                <w:szCs w:val="20"/>
                <w:lang w:val="en-CA"/>
              </w:rPr>
              <w:t xml:space="preserve">DW </w:t>
            </w:r>
            <w:r w:rsidRPr="00664F14">
              <w:rPr>
                <w:sz w:val="20"/>
                <w:szCs w:val="20"/>
                <w:lang w:val="en-CA"/>
              </w:rPr>
              <w:t>walls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4736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Chrysotile</w:t>
            </w: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F44E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lastRenderedPageBreak/>
              <w:t>1’x1’</w:t>
            </w:r>
            <w:r w:rsidR="00664F14" w:rsidRPr="00664F14">
              <w:rPr>
                <w:sz w:val="20"/>
                <w:szCs w:val="20"/>
                <w:lang w:val="en-CA"/>
              </w:rPr>
              <w:t xml:space="preserve"> scattered dot and fissure ceiling tile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1011 &amp; 1012 Margaret Charter’s auditorium and kitchen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3,200 sf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4736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Chrysotile / Amosite </w:t>
            </w:r>
          </w:p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rPr>
                <w:b/>
                <w:bCs/>
                <w:sz w:val="20"/>
                <w:szCs w:val="20"/>
                <w:lang w:val="en-CA"/>
              </w:rPr>
            </w:pPr>
          </w:p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2C5" w:rsidRDefault="006472C5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</w:p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smartTag w:uri="urn:schemas-microsoft-com:office:smarttags" w:element="Street">
              <w:smartTag w:uri="urn:schemas-microsoft-com:office:smarttags" w:element="address">
                <w:r w:rsidRPr="00664F14">
                  <w:rPr>
                    <w:b/>
                    <w:bCs/>
                    <w:sz w:val="20"/>
                    <w:szCs w:val="20"/>
                    <w:lang w:val="en-CA"/>
                  </w:rPr>
                  <w:t>Victoria Street</w:t>
                </w:r>
              </w:smartTag>
            </w:smartTag>
            <w:r w:rsidRPr="00664F14">
              <w:rPr>
                <w:b/>
                <w:bCs/>
                <w:sz w:val="20"/>
                <w:szCs w:val="20"/>
                <w:lang w:val="en-CA"/>
              </w:rPr>
              <w:t xml:space="preserve"> Parking Garage</w:t>
            </w: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Material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Locations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Approx. Quantity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Notes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14" w:rsidRPr="00664F14" w:rsidRDefault="00664F14" w:rsidP="00664F1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64F14">
              <w:rPr>
                <w:b/>
                <w:bCs/>
                <w:sz w:val="20"/>
                <w:szCs w:val="20"/>
                <w:lang w:val="en-CA"/>
              </w:rPr>
              <w:t>Result (if ACM)</w:t>
            </w: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2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12” white with black line vinyl floor tiles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Corridor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4736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Chrysotile</w:t>
            </w:r>
          </w:p>
        </w:tc>
      </w:tr>
      <w:tr w:rsidR="00664F14" w:rsidRPr="00664F14">
        <w:trPr>
          <w:gridAfter w:val="1"/>
          <w:wAfter w:w="310" w:type="dxa"/>
          <w:trHeight w:val="255"/>
        </w:trPr>
        <w:tc>
          <w:tcPr>
            <w:tcW w:w="2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12” orange vinyl floor tiles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Corridor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 w:rsidRPr="00664F14">
              <w:rPr>
                <w:sz w:val="20"/>
                <w:szCs w:val="20"/>
                <w:lang w:val="en-CA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664F14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F14" w:rsidRPr="00664F14" w:rsidRDefault="00E47368" w:rsidP="00664F14">
            <w:pPr>
              <w:spacing w:before="60" w:after="6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Chrysotile</w:t>
            </w:r>
          </w:p>
        </w:tc>
      </w:tr>
    </w:tbl>
    <w:p w:rsidR="00AF01B3" w:rsidRDefault="00AF01B3" w:rsidP="00AF01B3">
      <w:pPr>
        <w:jc w:val="center"/>
        <w:rPr>
          <w:sz w:val="32"/>
          <w:szCs w:val="32"/>
        </w:rPr>
      </w:pPr>
    </w:p>
    <w:p w:rsidR="00AF01B3" w:rsidRDefault="00AF01B3" w:rsidP="00AF01B3">
      <w:pPr>
        <w:jc w:val="center"/>
        <w:rPr>
          <w:sz w:val="32"/>
          <w:szCs w:val="32"/>
        </w:rPr>
      </w:pPr>
    </w:p>
    <w:p w:rsidR="00AF01B3" w:rsidRDefault="00AF01B3" w:rsidP="00AF01B3">
      <w:pPr>
        <w:jc w:val="center"/>
        <w:rPr>
          <w:sz w:val="32"/>
          <w:szCs w:val="32"/>
        </w:rPr>
      </w:pPr>
    </w:p>
    <w:p w:rsidR="00AF01B3" w:rsidRPr="00735E4B" w:rsidRDefault="00AF01B3" w:rsidP="00AF01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HGH </w:t>
      </w:r>
      <w:r w:rsidRPr="00735E4B">
        <w:rPr>
          <w:sz w:val="32"/>
          <w:szCs w:val="32"/>
        </w:rPr>
        <w:t xml:space="preserve">– </w:t>
      </w:r>
      <w:r>
        <w:rPr>
          <w:sz w:val="32"/>
          <w:szCs w:val="32"/>
        </w:rPr>
        <w:t>Asbestos Abatement/Replacement</w:t>
      </w:r>
    </w:p>
    <w:p w:rsidR="00664F14" w:rsidRDefault="00664F14" w:rsidP="00664F14">
      <w:pPr>
        <w:spacing w:before="240" w:after="240"/>
        <w:jc w:val="center"/>
        <w:rPr>
          <w:rFonts w:cs="Arial"/>
        </w:rPr>
      </w:pPr>
    </w:p>
    <w:p w:rsidR="00AF01B3" w:rsidRPr="00735E4B" w:rsidRDefault="00AF01B3" w:rsidP="00AF01B3">
      <w:pPr>
        <w:numPr>
          <w:ilvl w:val="0"/>
          <w:numId w:val="9"/>
        </w:numPr>
        <w:rPr>
          <w:rFonts w:cs="Arial"/>
        </w:rPr>
      </w:pPr>
      <w:r w:rsidRPr="00735E4B">
        <w:rPr>
          <w:rFonts w:cs="Arial"/>
        </w:rPr>
        <w:t>Asbestos removed</w:t>
      </w:r>
      <w:r>
        <w:rPr>
          <w:rFonts w:cs="Arial"/>
        </w:rPr>
        <w:t xml:space="preserve"> from duct bank on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</w:rPr>
            <w:t>Copeland Ave</w:t>
          </w:r>
          <w:r w:rsidRPr="00735E4B">
            <w:rPr>
              <w:rFonts w:cs="Arial"/>
            </w:rPr>
            <w:t>.</w:t>
          </w:r>
        </w:smartTag>
      </w:smartTag>
      <w:r>
        <w:rPr>
          <w:rFonts w:cs="Arial"/>
        </w:rPr>
        <w:t xml:space="preserve"> duct bank reburied under roadway.</w:t>
      </w:r>
    </w:p>
    <w:p w:rsidR="00AF01B3" w:rsidRPr="002776D9" w:rsidRDefault="00AF01B3" w:rsidP="00AF01B3">
      <w:pPr>
        <w:numPr>
          <w:ilvl w:val="0"/>
          <w:numId w:val="9"/>
        </w:numPr>
      </w:pPr>
      <w:r>
        <w:rPr>
          <w:rFonts w:cs="Arial"/>
        </w:rPr>
        <w:t>HIU renovations, flooring, ceiling tiles and drywall</w:t>
      </w:r>
      <w:r w:rsidRPr="002776D9">
        <w:t xml:space="preserve"> </w:t>
      </w:r>
      <w:r w:rsidRPr="00735E4B">
        <w:t xml:space="preserve">installation / replacement </w:t>
      </w:r>
      <w:r>
        <w:t xml:space="preserve">Asbestos </w:t>
      </w:r>
      <w:r w:rsidRPr="00735E4B">
        <w:t>free materials.</w:t>
      </w:r>
    </w:p>
    <w:p w:rsidR="00AF01B3" w:rsidRPr="002776D9" w:rsidRDefault="00AF01B3" w:rsidP="00AF01B3">
      <w:pPr>
        <w:numPr>
          <w:ilvl w:val="0"/>
          <w:numId w:val="9"/>
        </w:numPr>
      </w:pPr>
      <w:r>
        <w:rPr>
          <w:rFonts w:cs="Arial"/>
        </w:rPr>
        <w:t xml:space="preserve">ICU waiting room, flooring, ceiling tiles and drywall </w:t>
      </w:r>
      <w:r w:rsidRPr="00735E4B">
        <w:t xml:space="preserve">installation / replacement </w:t>
      </w:r>
      <w:r>
        <w:t xml:space="preserve">Asbestos </w:t>
      </w:r>
      <w:r w:rsidRPr="00735E4B">
        <w:t>free materials.</w:t>
      </w:r>
    </w:p>
    <w:p w:rsidR="00AF01B3" w:rsidRDefault="00AF01B3" w:rsidP="00AF01B3">
      <w:pPr>
        <w:numPr>
          <w:ilvl w:val="0"/>
          <w:numId w:val="9"/>
        </w:numPr>
      </w:pPr>
      <w:r>
        <w:rPr>
          <w:rFonts w:cs="Arial"/>
        </w:rPr>
        <w:t xml:space="preserve">Renovations to accommodate south end of Rehab &amp; ABI Building Access Ramp (Level 2 Main Building) flooring, ceiling tiles and drywall </w:t>
      </w:r>
      <w:r w:rsidRPr="00735E4B">
        <w:t xml:space="preserve">installation / replacement </w:t>
      </w:r>
      <w:r>
        <w:t xml:space="preserve">Asbestos </w:t>
      </w:r>
      <w:r w:rsidRPr="00735E4B">
        <w:t>free materials.</w:t>
      </w:r>
    </w:p>
    <w:p w:rsidR="00DB689D" w:rsidRPr="00DA755A" w:rsidRDefault="00DB689D" w:rsidP="00DA755A">
      <w:pPr>
        <w:numPr>
          <w:ilvl w:val="0"/>
          <w:numId w:val="9"/>
        </w:numPr>
        <w:spacing w:before="60" w:after="60"/>
        <w:jc w:val="both"/>
      </w:pPr>
      <w:r w:rsidRPr="00DA755A">
        <w:t>McMaster Clinic Building Asbestos tile encapsulation project</w:t>
      </w:r>
      <w:r w:rsidR="00DA755A">
        <w:t xml:space="preserve">: </w:t>
      </w:r>
      <w:r w:rsidR="00DA755A" w:rsidRPr="00DA755A">
        <w:t xml:space="preserve">Floor </w:t>
      </w:r>
      <w:proofErr w:type="spellStart"/>
      <w:r w:rsidR="00DA755A" w:rsidRPr="00DA755A">
        <w:t>ti</w:t>
      </w:r>
      <w:proofErr w:type="spellEnd"/>
      <w:r w:rsidR="00DA755A" w:rsidRPr="00DA755A">
        <w:rPr>
          <w:lang w:val="en-CA"/>
        </w:rPr>
        <w:t xml:space="preserve">le has been covered with a leveling mortar compound and Vinyl sheet flooring. </w:t>
      </w:r>
      <w:r w:rsidR="00DA755A" w:rsidRPr="00DA755A">
        <w:rPr>
          <w:b/>
          <w:lang w:val="en-CA"/>
        </w:rPr>
        <w:t>Any work that involves breaching through these layers must be conducted under a Type 2 or 3 procedure</w:t>
      </w:r>
      <w:r w:rsidR="00DA755A" w:rsidRPr="00DA755A">
        <w:rPr>
          <w:lang w:val="en-CA"/>
        </w:rPr>
        <w:t>. See Attached Clinic floor plans</w:t>
      </w:r>
      <w:r w:rsidR="00DA755A">
        <w:rPr>
          <w:lang w:val="en-CA"/>
        </w:rPr>
        <w:t xml:space="preserve"> – Appendix MCW </w:t>
      </w:r>
      <w:r w:rsidR="00DA755A" w:rsidRPr="00DA755A">
        <w:rPr>
          <w:lang w:val="en-CA"/>
        </w:rPr>
        <w:t xml:space="preserve"> for detail on areas encapsulated  and pending work</w:t>
      </w:r>
    </w:p>
    <w:p w:rsidR="00AF01B3" w:rsidRPr="00735E4B" w:rsidRDefault="00AF01B3" w:rsidP="00AF01B3">
      <w:pPr>
        <w:ind w:left="360"/>
        <w:rPr>
          <w:rFonts w:cs="Arial"/>
        </w:rPr>
      </w:pPr>
    </w:p>
    <w:p w:rsidR="00664F14" w:rsidRDefault="00664F14"/>
    <w:p w:rsidR="00664F14" w:rsidRDefault="00664F14"/>
    <w:p w:rsidR="00664F14" w:rsidRDefault="00664F14"/>
    <w:p w:rsidR="00664F14" w:rsidRDefault="00664F14"/>
    <w:p w:rsidR="006472C5" w:rsidRDefault="006472C5"/>
    <w:p w:rsidR="006472C5" w:rsidRDefault="006472C5"/>
    <w:p w:rsidR="006472C5" w:rsidRDefault="006472C5"/>
    <w:p w:rsidR="006472C5" w:rsidRDefault="006472C5"/>
    <w:p w:rsidR="006472C5" w:rsidRDefault="006472C5"/>
    <w:p w:rsidR="00DA755A" w:rsidRDefault="00DA755A"/>
    <w:p w:rsidR="00DA755A" w:rsidRDefault="00DA755A"/>
    <w:p w:rsidR="00584FF8" w:rsidRDefault="00584FF8"/>
    <w:p w:rsidR="00584FF8" w:rsidRDefault="00584FF8"/>
    <w:p w:rsidR="00584FF8" w:rsidRDefault="00584FF8"/>
    <w:p w:rsidR="00DA755A" w:rsidRDefault="00DA755A"/>
    <w:p w:rsidR="00DA755A" w:rsidRPr="00DA755A" w:rsidRDefault="00DA755A" w:rsidP="00DA755A">
      <w:pPr>
        <w:jc w:val="center"/>
        <w:rPr>
          <w:sz w:val="36"/>
          <w:szCs w:val="36"/>
        </w:rPr>
      </w:pPr>
      <w:r w:rsidRPr="00DA755A">
        <w:rPr>
          <w:sz w:val="36"/>
          <w:szCs w:val="36"/>
          <w:lang w:val="en-CA"/>
        </w:rPr>
        <w:t>Appendix MCW</w:t>
      </w:r>
      <w:r>
        <w:rPr>
          <w:sz w:val="36"/>
          <w:szCs w:val="36"/>
          <w:lang w:val="en-CA"/>
        </w:rPr>
        <w:t xml:space="preserve"> – Pg 1of 4</w:t>
      </w:r>
    </w:p>
    <w:p w:rsidR="006472C5" w:rsidRDefault="00185570">
      <w:r>
        <w:rPr>
          <w:noProof/>
        </w:rPr>
        <w:lastRenderedPageBreak/>
        <w:drawing>
          <wp:inline distT="0" distB="0" distL="0" distR="0">
            <wp:extent cx="6375400" cy="79248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5" w:rsidRDefault="006472C5"/>
    <w:p w:rsidR="006472C5" w:rsidRDefault="00185570">
      <w:r>
        <w:rPr>
          <w:noProof/>
        </w:rPr>
        <w:lastRenderedPageBreak/>
        <w:drawing>
          <wp:inline distT="0" distB="0" distL="0" distR="0">
            <wp:extent cx="6388100" cy="8089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808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5" w:rsidRDefault="006472C5"/>
    <w:p w:rsidR="006472C5" w:rsidRDefault="00185570">
      <w:r>
        <w:rPr>
          <w:noProof/>
        </w:rPr>
        <w:lastRenderedPageBreak/>
        <w:drawing>
          <wp:inline distT="0" distB="0" distL="0" distR="0">
            <wp:extent cx="6388100" cy="8115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5" w:rsidRDefault="00185570">
      <w:r>
        <w:rPr>
          <w:noProof/>
        </w:rPr>
        <w:lastRenderedPageBreak/>
        <w:drawing>
          <wp:inline distT="0" distB="0" distL="0" distR="0">
            <wp:extent cx="6362700" cy="7988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5A" w:rsidRPr="00DA755A" w:rsidRDefault="00DA755A" w:rsidP="00DA755A">
      <w:pPr>
        <w:jc w:val="center"/>
        <w:rPr>
          <w:b/>
          <w:sz w:val="32"/>
          <w:szCs w:val="32"/>
        </w:rPr>
      </w:pPr>
      <w:r w:rsidRPr="00DA755A">
        <w:rPr>
          <w:b/>
          <w:sz w:val="32"/>
          <w:szCs w:val="32"/>
        </w:rPr>
        <w:t>END OF DOCUMENT</w:t>
      </w:r>
    </w:p>
    <w:sectPr w:rsidR="00DA755A" w:rsidRPr="00DA755A" w:rsidSect="00AF01B3">
      <w:footerReference w:type="default" r:id="rId15"/>
      <w:pgSz w:w="12240" w:h="15840" w:code="1"/>
      <w:pgMar w:top="630" w:right="1080" w:bottom="144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4E" w:rsidRDefault="008E2E4E" w:rsidP="00D26410">
      <w:r>
        <w:separator/>
      </w:r>
    </w:p>
  </w:endnote>
  <w:endnote w:type="continuationSeparator" w:id="0">
    <w:p w:rsidR="008E2E4E" w:rsidRDefault="008E2E4E" w:rsidP="00D2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4E" w:rsidRDefault="008E2E4E" w:rsidP="00575BA2">
    <w:pPr>
      <w:pStyle w:val="Footer"/>
      <w:jc w:val="center"/>
    </w:pPr>
    <w:r>
      <w:t>This document is uncontrolled when printe</w:t>
    </w:r>
    <w:r w:rsidR="006C1664">
      <w:t>d. Last revised Feb 2020</w:t>
    </w:r>
  </w:p>
  <w:p w:rsidR="008E2E4E" w:rsidRDefault="008E2E4E" w:rsidP="00575BA2">
    <w:pPr>
      <w:pStyle w:val="Footer"/>
      <w:jc w:val="center"/>
    </w:pPr>
    <w:r>
      <w:t>Visit the HHS Asbestos Subcommittee intranet site located on Health Safety and Wellness for the Official Record or consult your project designate.</w:t>
    </w:r>
  </w:p>
  <w:p w:rsidR="008E2E4E" w:rsidRDefault="008E2E4E">
    <w:pPr>
      <w:pStyle w:val="Footer"/>
    </w:pPr>
  </w:p>
  <w:p w:rsidR="008E2E4E" w:rsidRDefault="008E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4E" w:rsidRDefault="008E2E4E" w:rsidP="00D26410">
      <w:r>
        <w:separator/>
      </w:r>
    </w:p>
  </w:footnote>
  <w:footnote w:type="continuationSeparator" w:id="0">
    <w:p w:rsidR="008E2E4E" w:rsidRDefault="008E2E4E" w:rsidP="00D2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A31"/>
    <w:multiLevelType w:val="hybridMultilevel"/>
    <w:tmpl w:val="72DAB9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2AEED8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35E73"/>
    <w:multiLevelType w:val="multilevel"/>
    <w:tmpl w:val="0C8CD430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E32D30"/>
    <w:multiLevelType w:val="hybridMultilevel"/>
    <w:tmpl w:val="7228C84E"/>
    <w:lvl w:ilvl="0" w:tplc="C436D93A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262A1F"/>
    <w:multiLevelType w:val="hybridMultilevel"/>
    <w:tmpl w:val="3BE298DA"/>
    <w:lvl w:ilvl="0" w:tplc="C436D93A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0918C1"/>
    <w:multiLevelType w:val="hybridMultilevel"/>
    <w:tmpl w:val="BDEE051A"/>
    <w:lvl w:ilvl="0" w:tplc="C436D93A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C7169D"/>
    <w:multiLevelType w:val="multilevel"/>
    <w:tmpl w:val="0C8CD430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AB6C5E"/>
    <w:multiLevelType w:val="hybridMultilevel"/>
    <w:tmpl w:val="0F661D4A"/>
    <w:lvl w:ilvl="0" w:tplc="72467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1A02"/>
    <w:multiLevelType w:val="hybridMultilevel"/>
    <w:tmpl w:val="0C8CD43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1D3EF7"/>
    <w:multiLevelType w:val="multilevel"/>
    <w:tmpl w:val="0C8CD430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4"/>
    <w:rsid w:val="00007D59"/>
    <w:rsid w:val="000405AA"/>
    <w:rsid w:val="00054127"/>
    <w:rsid w:val="000947A4"/>
    <w:rsid w:val="000A20CA"/>
    <w:rsid w:val="000B5805"/>
    <w:rsid w:val="000D0B67"/>
    <w:rsid w:val="000D382D"/>
    <w:rsid w:val="000D3A54"/>
    <w:rsid w:val="00116948"/>
    <w:rsid w:val="0014419F"/>
    <w:rsid w:val="001714F5"/>
    <w:rsid w:val="00176437"/>
    <w:rsid w:val="001772FD"/>
    <w:rsid w:val="00185570"/>
    <w:rsid w:val="00194835"/>
    <w:rsid w:val="00195919"/>
    <w:rsid w:val="001D4BB6"/>
    <w:rsid w:val="001E1538"/>
    <w:rsid w:val="001F7A22"/>
    <w:rsid w:val="00200AAF"/>
    <w:rsid w:val="00204B62"/>
    <w:rsid w:val="00245685"/>
    <w:rsid w:val="002568D9"/>
    <w:rsid w:val="00297421"/>
    <w:rsid w:val="002A6787"/>
    <w:rsid w:val="002B4CAC"/>
    <w:rsid w:val="002E014C"/>
    <w:rsid w:val="003151FE"/>
    <w:rsid w:val="00323EB5"/>
    <w:rsid w:val="003600D9"/>
    <w:rsid w:val="00364608"/>
    <w:rsid w:val="00376EF1"/>
    <w:rsid w:val="003A233B"/>
    <w:rsid w:val="003A6695"/>
    <w:rsid w:val="003D2A85"/>
    <w:rsid w:val="003F052E"/>
    <w:rsid w:val="0040231B"/>
    <w:rsid w:val="00413834"/>
    <w:rsid w:val="00420B6F"/>
    <w:rsid w:val="00434485"/>
    <w:rsid w:val="00457293"/>
    <w:rsid w:val="004A7160"/>
    <w:rsid w:val="004C2D9B"/>
    <w:rsid w:val="004D3FE5"/>
    <w:rsid w:val="004E7E39"/>
    <w:rsid w:val="00501DC3"/>
    <w:rsid w:val="00525E4F"/>
    <w:rsid w:val="00537651"/>
    <w:rsid w:val="00575BA2"/>
    <w:rsid w:val="00584FF8"/>
    <w:rsid w:val="00590910"/>
    <w:rsid w:val="0059732A"/>
    <w:rsid w:val="005C0FAD"/>
    <w:rsid w:val="005E42F3"/>
    <w:rsid w:val="006472C5"/>
    <w:rsid w:val="006642D0"/>
    <w:rsid w:val="00664F14"/>
    <w:rsid w:val="006A2BF9"/>
    <w:rsid w:val="006C1664"/>
    <w:rsid w:val="006E5F2A"/>
    <w:rsid w:val="006F308B"/>
    <w:rsid w:val="006F6C72"/>
    <w:rsid w:val="00726DEC"/>
    <w:rsid w:val="00735E2F"/>
    <w:rsid w:val="0078180F"/>
    <w:rsid w:val="007B774F"/>
    <w:rsid w:val="007B7CA7"/>
    <w:rsid w:val="007E641F"/>
    <w:rsid w:val="0081705E"/>
    <w:rsid w:val="00843096"/>
    <w:rsid w:val="008E2E4E"/>
    <w:rsid w:val="0090026F"/>
    <w:rsid w:val="0097047C"/>
    <w:rsid w:val="009F7929"/>
    <w:rsid w:val="00A56BB2"/>
    <w:rsid w:val="00AA59D2"/>
    <w:rsid w:val="00AB329A"/>
    <w:rsid w:val="00AF01B3"/>
    <w:rsid w:val="00B21883"/>
    <w:rsid w:val="00B36D8F"/>
    <w:rsid w:val="00B372ED"/>
    <w:rsid w:val="00B44EF5"/>
    <w:rsid w:val="00B53BDA"/>
    <w:rsid w:val="00B74196"/>
    <w:rsid w:val="00BC16AB"/>
    <w:rsid w:val="00BE0AF1"/>
    <w:rsid w:val="00BF5E2D"/>
    <w:rsid w:val="00CA35E6"/>
    <w:rsid w:val="00D16F56"/>
    <w:rsid w:val="00D26410"/>
    <w:rsid w:val="00D60E66"/>
    <w:rsid w:val="00DA2617"/>
    <w:rsid w:val="00DA755A"/>
    <w:rsid w:val="00DB1E01"/>
    <w:rsid w:val="00DB689D"/>
    <w:rsid w:val="00DE0816"/>
    <w:rsid w:val="00E47368"/>
    <w:rsid w:val="00E61776"/>
    <w:rsid w:val="00E6362A"/>
    <w:rsid w:val="00EA0993"/>
    <w:rsid w:val="00EB5BFD"/>
    <w:rsid w:val="00EB6EA3"/>
    <w:rsid w:val="00EE1B8E"/>
    <w:rsid w:val="00EF44E8"/>
    <w:rsid w:val="00EF79F6"/>
    <w:rsid w:val="00F2217B"/>
    <w:rsid w:val="00F94D85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137F74"/>
  <w15:docId w15:val="{DE2FD45C-77DB-4933-9CB8-CAAEDC6F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dTitle">
    <w:name w:val="Centred Title"/>
    <w:rsid w:val="00664F14"/>
    <w:pPr>
      <w:spacing w:before="240" w:after="240"/>
      <w:jc w:val="center"/>
    </w:pPr>
    <w:rPr>
      <w:rFonts w:ascii="Times New Roman Bold" w:hAnsi="Times New Roman Bold"/>
      <w:b/>
      <w:bCs/>
      <w:caps/>
      <w:sz w:val="24"/>
      <w:szCs w:val="24"/>
      <w:lang w:val="en-CA"/>
    </w:rPr>
  </w:style>
  <w:style w:type="paragraph" w:customStyle="1" w:styleId="par2">
    <w:name w:val="par2"/>
    <w:basedOn w:val="Normal"/>
    <w:rsid w:val="00664F14"/>
    <w:pPr>
      <w:spacing w:before="60" w:after="120" w:line="300" w:lineRule="auto"/>
      <w:ind w:left="720" w:hanging="720"/>
      <w:jc w:val="both"/>
    </w:pPr>
    <w:rPr>
      <w:sz w:val="22"/>
      <w:szCs w:val="20"/>
      <w:lang w:val="en-GB"/>
    </w:rPr>
  </w:style>
  <w:style w:type="paragraph" w:styleId="BodyText">
    <w:name w:val="Body Text"/>
    <w:basedOn w:val="Normal"/>
    <w:link w:val="BodyTextChar"/>
    <w:rsid w:val="00664F14"/>
    <w:pPr>
      <w:spacing w:before="120" w:after="120"/>
      <w:ind w:left="720"/>
      <w:jc w:val="both"/>
    </w:pPr>
    <w:rPr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locked/>
    <w:rsid w:val="00664F14"/>
    <w:rPr>
      <w:sz w:val="24"/>
      <w:lang w:val="en-CA" w:eastAsia="en-US" w:bidi="ar-SA"/>
    </w:rPr>
  </w:style>
  <w:style w:type="paragraph" w:styleId="Header">
    <w:name w:val="header"/>
    <w:basedOn w:val="Normal"/>
    <w:link w:val="HeaderChar"/>
    <w:rsid w:val="00D2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6410"/>
    <w:rPr>
      <w:sz w:val="24"/>
      <w:szCs w:val="24"/>
    </w:rPr>
  </w:style>
  <w:style w:type="paragraph" w:styleId="Footer">
    <w:name w:val="footer"/>
    <w:basedOn w:val="Normal"/>
    <w:link w:val="FooterChar"/>
    <w:rsid w:val="00D2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6410"/>
    <w:rPr>
      <w:sz w:val="24"/>
      <w:szCs w:val="24"/>
    </w:rPr>
  </w:style>
  <w:style w:type="paragraph" w:styleId="BalloonText">
    <w:name w:val="Balloon Text"/>
    <w:basedOn w:val="Normal"/>
    <w:link w:val="BalloonTextChar"/>
    <w:rsid w:val="00D26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E451B48660C4A822D6AC6A3305FF6" ma:contentTypeVersion="0" ma:contentTypeDescription="Create a new document." ma:contentTypeScope="" ma:versionID="35c8b120e85f52fbf220fa788aac4df8">
  <xsd:schema xmlns:xsd="http://www.w3.org/2001/XMLSchema" xmlns:p="http://schemas.microsoft.com/office/2006/metadata/properties" targetNamespace="http://schemas.microsoft.com/office/2006/metadata/properties" ma:root="true" ma:fieldsID="1b6c6ab67cb1b25e7c822d58a664b2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2D64-D217-49F2-B82E-DCA5F1864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566E1-7086-4BF7-BFB4-0448B874E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D008B2-A38F-4892-AD63-2C580F2A44E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6053C6-FB97-4AE4-B316-ED5AC412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641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– 2011</vt:lpstr>
    </vt:vector>
  </TitlesOfParts>
  <Company>HHS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– 2011</dc:title>
  <dc:creator>coopers</dc:creator>
  <cp:lastModifiedBy>LeGris Corey</cp:lastModifiedBy>
  <cp:revision>4</cp:revision>
  <cp:lastPrinted>2013-02-04T20:08:00Z</cp:lastPrinted>
  <dcterms:created xsi:type="dcterms:W3CDTF">2019-10-03T11:14:00Z</dcterms:created>
  <dcterms:modified xsi:type="dcterms:W3CDTF">2020-03-27T17:42:00Z</dcterms:modified>
</cp:coreProperties>
</file>